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0" w:firstLineChars="0"/>
        <w:jc w:val="left"/>
        <w:textAlignment w:val="center"/>
        <w:outlineLvl w:val="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eastAsia="黑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黑体"/>
          <w:kern w:val="0"/>
          <w:sz w:val="30"/>
          <w:szCs w:val="30"/>
        </w:rPr>
        <w:t>：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  <w:t>宁乡市公开</w:t>
      </w:r>
      <w:r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  <w:lang w:eastAsia="zh-CN"/>
        </w:rPr>
        <w:t>引进</w:t>
      </w:r>
      <w:r>
        <w:rPr>
          <w:rFonts w:hint="eastAsia" w:ascii="Times New Roman" w:hAnsi="Times New Roman" w:eastAsia="方正小标宋简体" w:cs="方正小标宋简体"/>
          <w:b w:val="0"/>
          <w:bCs/>
          <w:sz w:val="36"/>
          <w:szCs w:val="36"/>
        </w:rPr>
        <w:t>事业编制工业产业链和文化旅游产业服务专才计划职位表</w:t>
      </w:r>
    </w:p>
    <w:tbl>
      <w:tblPr>
        <w:tblStyle w:val="5"/>
        <w:tblW w:w="140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8"/>
        <w:gridCol w:w="2321"/>
        <w:gridCol w:w="993"/>
        <w:gridCol w:w="1069"/>
        <w:gridCol w:w="2055"/>
        <w:gridCol w:w="5565"/>
        <w:gridCol w:w="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tblHeader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1"/>
                <w:szCs w:val="21"/>
                <w:lang w:eastAsia="zh-CN"/>
              </w:rPr>
              <w:t>引进</w:t>
            </w:r>
            <w:r>
              <w:rPr>
                <w:rFonts w:ascii="Times New Roman" w:hAnsi="Times New Roman" w:eastAsia="宋体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sz w:val="21"/>
                <w:szCs w:val="21"/>
              </w:rPr>
              <w:t>工作岗位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kern w:val="0"/>
                <w:sz w:val="21"/>
                <w:szCs w:val="21"/>
              </w:rPr>
              <w:t>计划数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1"/>
                <w:szCs w:val="21"/>
              </w:rPr>
              <w:t>学历和职称要求</w:t>
            </w:r>
          </w:p>
        </w:tc>
        <w:tc>
          <w:tcPr>
            <w:tcW w:w="5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宁乡市工业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技术研究院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（20名）</w:t>
            </w: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食品加工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产业链建设推进办公室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100619食品与生物类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200619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食品检验与生物类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储能材料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产业链建设推进办公室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100603材料类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100503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化学类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200603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材料类、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200503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智能家居及装配式建筑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产业链建设推进办公室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20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100602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机械类、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100605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电气类、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100608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土建类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200602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机械类、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200605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电气类、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200608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土建类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先进装备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产业链建设推进办公室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100602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机械类、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100605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电气类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200602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机械类、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200605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新材料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产业链建设推进办公室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100603材料类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100503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化学类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200603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材料类、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200503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孕婴童及时尚鞋服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产业链建设推进办公室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100612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轻工纺织类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200612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轻工纺织类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exact"/>
        </w:trPr>
        <w:tc>
          <w:tcPr>
            <w:tcW w:w="12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文化旅游产业办公室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10010502考古学及博物馆学、10010503历史地理学、10010509文物与博物馆、10020202企业管理（含：财务管理、市场营销、人力资源管理）、10020203旅游管理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  <w:t>本科生：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20010503考古学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20010504文物与博物馆学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20020208市场营销、20020216文化产业管理、20020229旅游管理、20020230酒店管理、20020231会展经济与管理、20020232旅游管理与服务教育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int="eastAsia" w:ascii="Times New Roman" w:hAnsi="Times New Roman" w:eastAsia="仿宋"/>
          <w:szCs w:val="21"/>
        </w:rPr>
      </w:pPr>
      <w:r>
        <w:rPr>
          <w:rFonts w:hint="eastAsia" w:ascii="Times New Roman" w:hAnsi="Times New Roman" w:eastAsia="仿宋"/>
          <w:szCs w:val="21"/>
        </w:rPr>
        <w:t>注：专业要求参照《2018年湖南省考试录用公务员专业指导目录》。</w:t>
      </w: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Times New Roman" w:hAnsi="Times New Roman" w:eastAsia="仿宋"/>
          <w:szCs w:val="21"/>
        </w:rPr>
        <w:sectPr>
          <w:footerReference r:id="rId3" w:type="default"/>
          <w:pgSz w:w="16838" w:h="11906" w:orient="landscape"/>
          <w:pgMar w:top="1134" w:right="1418" w:bottom="680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Times New Roman" w:hAnsi="Times New Roman" w:eastAsia="仿宋"/>
          <w:szCs w:val="21"/>
        </w:rPr>
      </w:pPr>
      <w:r>
        <w:rPr>
          <w:rFonts w:ascii="Times New Roman" w:hAnsi="Times New Roman" w:eastAsia="黑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黑体"/>
          <w:kern w:val="0"/>
          <w:sz w:val="30"/>
          <w:szCs w:val="30"/>
        </w:rPr>
        <w:t>：</w:t>
      </w:r>
    </w:p>
    <w:tbl>
      <w:tblPr>
        <w:tblStyle w:val="5"/>
        <w:tblW w:w="10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128"/>
        <w:gridCol w:w="1099"/>
        <w:gridCol w:w="1109"/>
        <w:gridCol w:w="529"/>
        <w:gridCol w:w="830"/>
        <w:gridCol w:w="944"/>
        <w:gridCol w:w="1201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0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宁乡市2018年引进事业编制工业产业链和文旅产业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服务专业人才考试报名登记表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现有执业资格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</w:t>
            </w:r>
          </w:p>
        </w:tc>
        <w:tc>
          <w:tcPr>
            <w:tcW w:w="5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现单位工作年限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9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学习和工作经历</w:t>
            </w:r>
          </w:p>
        </w:tc>
        <w:tc>
          <w:tcPr>
            <w:tcW w:w="892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获得的奖励或科研成果</w:t>
            </w:r>
          </w:p>
        </w:tc>
        <w:tc>
          <w:tcPr>
            <w:tcW w:w="89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家庭主要成员及主要社会关系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9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本人承诺填写的信息及提供的材料均合法、真实、有效，符合招聘职位所需的资格条件。如有弄虚作假或填写失实、失误，承诺自动放弃考试或聘用资格。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75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注：1、学习和工作经历从高中阶段填写起；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75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2、请下载打印填写完整后签名、粘贴照片并妥善保管，在资格审查时交工作人员。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680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74496"/>
    <w:rsid w:val="38686A0F"/>
    <w:rsid w:val="3F807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zjc2013</dc:creator>
  <cp:lastModifiedBy>zjc2013</cp:lastModifiedBy>
  <dcterms:modified xsi:type="dcterms:W3CDTF">2018-03-30T02:02:22Z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